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84" w:rsidRDefault="00091A84" w:rsidP="00091A84">
      <w:pPr>
        <w:spacing w:after="0" w:line="560" w:lineRule="exact"/>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4</w:t>
      </w:r>
    </w:p>
    <w:p w:rsidR="00091A84" w:rsidRDefault="00091A84" w:rsidP="00091A84">
      <w:pPr>
        <w:spacing w:after="0" w:line="560" w:lineRule="exact"/>
        <w:ind w:left="284" w:hanging="284"/>
        <w:contextualSpacing/>
        <w:jc w:val="both"/>
        <w:rPr>
          <w:rFonts w:ascii="Times New Roman" w:eastAsia="方正小标宋简体" w:hAnsi="Times New Roman" w:cs="Times New Roman"/>
          <w:sz w:val="32"/>
          <w:szCs w:val="32"/>
        </w:rPr>
      </w:pPr>
    </w:p>
    <w:p w:rsidR="00091A84" w:rsidRDefault="00091A84" w:rsidP="00091A84">
      <w:pPr>
        <w:spacing w:after="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2020</w:t>
      </w:r>
      <w:r>
        <w:rPr>
          <w:rFonts w:ascii="Times New Roman" w:eastAsia="方正小标宋简体" w:hAnsi="Times New Roman" w:cs="Times New Roman" w:hint="eastAsia"/>
          <w:sz w:val="44"/>
          <w:szCs w:val="44"/>
        </w:rPr>
        <w:t>年湖南省工业固体废物资源综合</w:t>
      </w:r>
    </w:p>
    <w:p w:rsidR="00091A84" w:rsidRDefault="00091A84" w:rsidP="00091A84">
      <w:pPr>
        <w:spacing w:after="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利用示范自评价报告书编制提纲</w:t>
      </w:r>
    </w:p>
    <w:p w:rsidR="00091A84" w:rsidRDefault="00091A84" w:rsidP="00091A84">
      <w:pPr>
        <w:spacing w:after="0" w:line="560" w:lineRule="exact"/>
        <w:jc w:val="center"/>
        <w:rPr>
          <w:rFonts w:ascii="Times New Roman" w:eastAsia="方正小标宋简体" w:hAnsi="Times New Roman" w:cs="Times New Roman"/>
          <w:sz w:val="44"/>
          <w:szCs w:val="44"/>
        </w:rPr>
      </w:pPr>
    </w:p>
    <w:p w:rsidR="00091A84" w:rsidRDefault="00091A84" w:rsidP="00091A84">
      <w:pPr>
        <w:spacing w:after="0" w:line="560" w:lineRule="exact"/>
        <w:ind w:firstLineChars="200" w:firstLine="640"/>
        <w:jc w:val="both"/>
        <w:rPr>
          <w:rFonts w:ascii="黑体" w:eastAsia="黑体" w:cs="Times New Roman"/>
          <w:sz w:val="32"/>
          <w:szCs w:val="32"/>
        </w:rPr>
      </w:pPr>
      <w:r>
        <w:rPr>
          <w:rFonts w:ascii="黑体" w:eastAsia="黑体" w:cs="Times New Roman" w:hint="eastAsia"/>
          <w:sz w:val="32"/>
          <w:szCs w:val="32"/>
        </w:rPr>
        <w:t>一、工业固体废物资源综合利用示范基地（园区）自评价报告书编制提纲</w:t>
      </w:r>
    </w:p>
    <w:p w:rsidR="00091A84" w:rsidRDefault="00091A84" w:rsidP="00091A84">
      <w:pPr>
        <w:spacing w:after="0" w:line="560" w:lineRule="exact"/>
        <w:ind w:firstLineChars="200" w:firstLine="640"/>
        <w:jc w:val="both"/>
        <w:rPr>
          <w:rFonts w:ascii="楷体" w:eastAsia="楷体" w:hAnsi="楷体" w:cs="Times New Roman" w:hint="eastAsia"/>
          <w:sz w:val="32"/>
          <w:szCs w:val="32"/>
        </w:rPr>
      </w:pPr>
      <w:r>
        <w:rPr>
          <w:rFonts w:ascii="楷体" w:eastAsia="楷体" w:hAnsi="楷体" w:cs="Times New Roman" w:hint="eastAsia"/>
          <w:sz w:val="32"/>
          <w:szCs w:val="32"/>
        </w:rPr>
        <w:t>（一）基地（园区）发展情况</w:t>
      </w:r>
    </w:p>
    <w:p w:rsidR="00091A84" w:rsidRDefault="00091A84" w:rsidP="00091A84">
      <w:pPr>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创建工作方案批复以来，基地（园区）生产总值、废弃物种类和数量的逐年变化情况。区内工业固废资源综合利用产品种类、生产能力和产量。区内重点企业工业固废资源综合利用产品种类、生产能力和产量，采用的主要技术、工艺、设备等发展变化情况。工业固体废弃物综合利用率以及利用量增长情况等。</w:t>
      </w:r>
    </w:p>
    <w:p w:rsidR="00091A84" w:rsidRDefault="00091A84" w:rsidP="00091A84">
      <w:pPr>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（二）目标实现情况</w:t>
      </w:r>
    </w:p>
    <w:p w:rsidR="00091A84" w:rsidRDefault="00091A84" w:rsidP="00091A84">
      <w:pPr>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截至验收前，与创建工作方案中提出的各项目标相比，综合利用示范基地（园区）各项指标实现情况，包括基地（园区）生产总值；工业固废利用量、利用率；资源综合利用产品产量、产值；推动资源综合利用领域相关科技成果转化，培育废弃物无害化处置及综合利用领域高新技术及创新企业（并填写附表）。对尚未实现的目标，说明原因及拟采取的对策措施。</w:t>
      </w:r>
    </w:p>
    <w:p w:rsidR="00091A84" w:rsidRDefault="00091A84" w:rsidP="00091A84">
      <w:pPr>
        <w:widowControl w:val="0"/>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（三）任务完成情况</w:t>
      </w:r>
    </w:p>
    <w:p w:rsidR="00091A84" w:rsidRDefault="00091A84" w:rsidP="00091A84">
      <w:pPr>
        <w:widowControl w:val="0"/>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基地（园区）示范创建的主要任务完成情况。</w:t>
      </w:r>
    </w:p>
    <w:p w:rsidR="00091A84" w:rsidRDefault="00091A84" w:rsidP="00091A84">
      <w:pPr>
        <w:widowControl w:val="0"/>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（四）重点项目实施情况</w:t>
      </w:r>
    </w:p>
    <w:p w:rsidR="00091A84" w:rsidRDefault="00091A84" w:rsidP="00091A84">
      <w:pPr>
        <w:widowControl w:val="0"/>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lastRenderedPageBreak/>
        <w:t>创建工作方案中所提出的重点建设项目建设运营情况，是否按照进度计划如期推进，是否对示范创建工作起到了关键作用。</w:t>
      </w:r>
    </w:p>
    <w:p w:rsidR="00091A84" w:rsidRDefault="00091A84" w:rsidP="00091A84">
      <w:pPr>
        <w:widowControl w:val="0"/>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（五）保障措施落实情况</w:t>
      </w:r>
    </w:p>
    <w:p w:rsidR="00091A84" w:rsidRDefault="00091A84" w:rsidP="00091A84">
      <w:pPr>
        <w:widowControl w:val="0"/>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开展工业固废资源综合利用示范创建的组织保障体系、技术支撑体系建设情况，地方政府支持政策落实情况，公共服务平台、污染防治监督管理体制建设情况等。</w:t>
      </w:r>
    </w:p>
    <w:p w:rsidR="00091A84" w:rsidRDefault="00091A84" w:rsidP="00091A84">
      <w:pPr>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（六）存在问题、主要经验和政策建议</w:t>
      </w:r>
    </w:p>
    <w:p w:rsidR="00091A84" w:rsidRDefault="00091A84" w:rsidP="00091A84">
      <w:pPr>
        <w:spacing w:after="0" w:line="560" w:lineRule="exact"/>
        <w:ind w:firstLineChars="200" w:firstLine="640"/>
        <w:jc w:val="both"/>
        <w:rPr>
          <w:rFonts w:ascii="Times New Roman" w:eastAsia="仿宋" w:hAnsi="Times New Roman" w:cs="Times New Roman" w:hint="eastAsia"/>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、创建工作方案相关目标任务尚未落实的原因及其制约因素。推进示范创建工作存在的主要问题，已采取的解决措施及其效果，还需要协调解决的问题。</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、示范创建工作推进过程中取得的主要经验。</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、进一步深入推进工业固废资源综合利用产业发展的政策建议。</w:t>
      </w:r>
    </w:p>
    <w:p w:rsidR="00091A84" w:rsidRDefault="00091A84" w:rsidP="00091A84">
      <w:pPr>
        <w:spacing w:after="0" w:line="560" w:lineRule="exact"/>
        <w:ind w:firstLineChars="200" w:firstLine="640"/>
        <w:jc w:val="both"/>
        <w:rPr>
          <w:rFonts w:ascii="楷体" w:eastAsia="楷体" w:hAnsi="楷体" w:cs="Times New Roman"/>
          <w:sz w:val="32"/>
          <w:szCs w:val="32"/>
        </w:rPr>
      </w:pPr>
      <w:r>
        <w:rPr>
          <w:rFonts w:ascii="楷体" w:eastAsia="楷体" w:hAnsi="楷体" w:cs="Times New Roman" w:hint="eastAsia"/>
          <w:sz w:val="32"/>
          <w:szCs w:val="32"/>
        </w:rPr>
        <w:t>（七）相关证明材料</w:t>
      </w:r>
    </w:p>
    <w:p w:rsidR="00091A84" w:rsidRDefault="00091A84" w:rsidP="00091A84">
      <w:pPr>
        <w:spacing w:after="0" w:line="560" w:lineRule="exact"/>
        <w:ind w:firstLineChars="200" w:firstLine="640"/>
        <w:jc w:val="both"/>
        <w:rPr>
          <w:rFonts w:ascii="Times New Roman" w:eastAsia="仿宋_GB2312" w:hAnsi="Times New Roman" w:cs="Times New Roman" w:hint="eastAsia"/>
          <w:sz w:val="32"/>
          <w:szCs w:val="32"/>
        </w:rPr>
      </w:pPr>
    </w:p>
    <w:p w:rsidR="00091A84" w:rsidRDefault="00091A84" w:rsidP="00091A84">
      <w:pPr>
        <w:spacing w:after="0" w:line="560" w:lineRule="exact"/>
        <w:ind w:firstLineChars="200" w:firstLine="640"/>
        <w:jc w:val="both"/>
        <w:rPr>
          <w:rFonts w:ascii="Times New Roman" w:eastAsia="仿宋_GB2312" w:hAnsi="Times New Roman" w:cs="Times New Roman"/>
          <w:sz w:val="32"/>
          <w:szCs w:val="32"/>
        </w:rPr>
      </w:pPr>
    </w:p>
    <w:p w:rsidR="00091A84" w:rsidRDefault="00091A84" w:rsidP="00091A84">
      <w:pPr>
        <w:spacing w:after="0" w:line="240" w:lineRule="auto"/>
        <w:rPr>
          <w:rFonts w:ascii="Times New Roman" w:eastAsia="仿宋_GB2312" w:hAnsi="Times New Roman" w:cs="Times New Roman"/>
          <w:sz w:val="32"/>
          <w:szCs w:val="32"/>
        </w:rPr>
        <w:sectPr w:rsidR="00091A84">
          <w:pgSz w:w="11906" w:h="16838"/>
          <w:pgMar w:top="2098" w:right="1247" w:bottom="1418" w:left="1588" w:header="964" w:footer="709" w:gutter="0"/>
          <w:pgNumType w:fmt="numberInDash"/>
          <w:cols w:space="720"/>
        </w:sectPr>
      </w:pPr>
    </w:p>
    <w:p w:rsidR="00091A84" w:rsidRDefault="00091A84" w:rsidP="00091A84">
      <w:pPr>
        <w:spacing w:after="0" w:line="560" w:lineRule="exact"/>
        <w:jc w:val="both"/>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附表</w:t>
      </w:r>
    </w:p>
    <w:p w:rsidR="00091A84" w:rsidRDefault="00091A84" w:rsidP="00091A84">
      <w:pPr>
        <w:spacing w:after="0" w:line="560" w:lineRule="exact"/>
        <w:ind w:left="284" w:hanging="284"/>
        <w:contextualSpacing/>
        <w:jc w:val="both"/>
        <w:rPr>
          <w:rFonts w:ascii="Times New Roman" w:eastAsia="方正小标宋简体" w:hAnsi="Times New Roman" w:cs="Times New Roman"/>
          <w:sz w:val="32"/>
          <w:szCs w:val="32"/>
        </w:rPr>
      </w:pPr>
    </w:p>
    <w:p w:rsidR="00091A84" w:rsidRDefault="00091A84" w:rsidP="00091A84">
      <w:pPr>
        <w:spacing w:after="0"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工业固体废物资源综合利用示范基地（园区）自评价指标表</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8392"/>
        <w:gridCol w:w="2381"/>
        <w:gridCol w:w="2381"/>
      </w:tblGrid>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b/>
                <w:bCs/>
                <w:sz w:val="24"/>
                <w:szCs w:val="24"/>
              </w:rPr>
            </w:pPr>
            <w:bookmarkStart w:id="0" w:name="_Hlk28943664"/>
            <w:r>
              <w:rPr>
                <w:rFonts w:ascii="Times New Roman" w:eastAsia="宋体" w:hAnsi="Times New Roman" w:cs="Times New Roman" w:hint="eastAsia"/>
                <w:b/>
                <w:bCs/>
                <w:sz w:val="24"/>
                <w:szCs w:val="24"/>
              </w:rPr>
              <w:t>序号</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指标名称</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创建预期</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完成情况</w:t>
            </w: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基地（园区）生产总值</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废弃物产生总量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废弃物无害化处置量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废弃物无害化处置率</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废弃物年综合利用量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废弃物综合利用率</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废弃物综合利用产品年产值</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废弃物无害化处置及综合利用技术研发及推广投入占基地总产值比重</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废弃物无害化处置及综合利用领域科技成果转化项目数量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培育废弃物无害化处置及综合利用领域高新技术及创新企业数量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基地（园区）内工业固废综合利用龙头企业数量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12</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widowControl w:val="0"/>
              <w:spacing w:after="0" w:line="46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基地（园区）近三年未发生重大环保、安全事故</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widowControl w:val="0"/>
              <w:spacing w:after="0" w:line="460" w:lineRule="exact"/>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widowControl w:val="0"/>
              <w:spacing w:after="0" w:line="460" w:lineRule="exact"/>
              <w:jc w:val="both"/>
              <w:rPr>
                <w:rFonts w:ascii="Times New Roman" w:eastAsia="宋体" w:hAnsi="Times New Roman" w:cs="Times New Roman"/>
                <w:sz w:val="24"/>
                <w:szCs w:val="24"/>
              </w:rPr>
            </w:pPr>
          </w:p>
        </w:tc>
      </w:tr>
      <w:bookmarkEnd w:id="0"/>
    </w:tbl>
    <w:p w:rsidR="00091A84" w:rsidRDefault="00091A84" w:rsidP="00091A84">
      <w:pPr>
        <w:spacing w:after="0" w:line="560" w:lineRule="exact"/>
        <w:jc w:val="both"/>
        <w:rPr>
          <w:rFonts w:ascii="Times New Roman" w:eastAsia="仿宋_GB2312" w:hAnsi="Times New Roman" w:cs="Times New Roman"/>
          <w:sz w:val="32"/>
          <w:szCs w:val="32"/>
        </w:rPr>
      </w:pPr>
    </w:p>
    <w:p w:rsidR="00091A84" w:rsidRDefault="00091A84" w:rsidP="00091A84">
      <w:pPr>
        <w:spacing w:after="0" w:line="240" w:lineRule="auto"/>
        <w:rPr>
          <w:rFonts w:ascii="Times New Roman" w:eastAsia="仿宋_GB2312" w:hAnsi="Times New Roman" w:cs="Times New Roman"/>
          <w:sz w:val="32"/>
          <w:szCs w:val="32"/>
        </w:rPr>
        <w:sectPr w:rsidR="00091A84">
          <w:pgSz w:w="16838" w:h="11906" w:orient="landscape"/>
          <w:pgMar w:top="1440" w:right="1440" w:bottom="1440" w:left="1440" w:header="708" w:footer="708" w:gutter="0"/>
          <w:pgNumType w:fmt="numberInDash"/>
          <w:cols w:space="720"/>
        </w:sectPr>
      </w:pPr>
    </w:p>
    <w:p w:rsidR="00091A84" w:rsidRDefault="00091A84" w:rsidP="00091A84">
      <w:pPr>
        <w:spacing w:after="0" w:line="560" w:lineRule="exact"/>
        <w:ind w:firstLineChars="200" w:firstLine="640"/>
        <w:jc w:val="both"/>
        <w:rPr>
          <w:rFonts w:ascii="黑体" w:eastAsia="黑体" w:cs="Times New Roman"/>
          <w:sz w:val="32"/>
          <w:szCs w:val="32"/>
        </w:rPr>
      </w:pPr>
      <w:r>
        <w:rPr>
          <w:rFonts w:ascii="黑体" w:eastAsia="黑体" w:cs="Times New Roman" w:hint="eastAsia"/>
          <w:sz w:val="32"/>
          <w:szCs w:val="32"/>
        </w:rPr>
        <w:lastRenderedPageBreak/>
        <w:t>二、工业固体废物资源综合利用示范企业自评价报告书编制提纲</w:t>
      </w:r>
    </w:p>
    <w:p w:rsidR="00091A84" w:rsidRDefault="00091A84" w:rsidP="00091A84">
      <w:pPr>
        <w:spacing w:after="0" w:line="560" w:lineRule="exact"/>
        <w:ind w:firstLineChars="200" w:firstLine="640"/>
        <w:jc w:val="both"/>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（一）企业发展情况</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创建工作方案批复以来，企业在资产财务、从业人数及构成、废弃物种类和数量的逐年变化情况。工业固废资源综合利用产品种类、生产能力和产量。企业采用的主要技术、工艺、设备等发展变化和产品质量管控情况。企业在降低能耗、水耗、污染物排放等方面的成效。工业固体废弃物的利用率以及利用量增长情况。废弃物回收利用渠道建立和运行情况，综合利用产品营销模式建立和运营情况等。</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（二）目标实现情况</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截至验收前，与创建工作方案中提出的各项目标相比，综合利用示范企业各项指标实现情况，包括企业年销售收入、利税；工业固废利用量、利用率；资源综合利用产品产量、产值；进行资源综合利用领域相关技术研发，推动相关标准建立，完善管理体系等（并填写附表）。对尚未实现的目标，说明原因及拟采取的对策措施。</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（三）保障措施落实情况</w:t>
      </w:r>
    </w:p>
    <w:p w:rsidR="00091A84" w:rsidRDefault="00091A84" w:rsidP="00091A84">
      <w:pPr>
        <w:widowControl w:val="0"/>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开展工业固废资源综合利用示范创建采取的组织、资金、技术、人才等方面的具体措施及相关配套政策的落实情况等。</w:t>
      </w:r>
    </w:p>
    <w:p w:rsidR="00091A84" w:rsidRDefault="00091A84" w:rsidP="00091A84">
      <w:pPr>
        <w:widowControl w:val="0"/>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（四）存在问题、主要经验和政策建议</w:t>
      </w:r>
    </w:p>
    <w:p w:rsidR="00091A84" w:rsidRDefault="00091A84" w:rsidP="00091A84">
      <w:pPr>
        <w:widowControl w:val="0"/>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、创建工作方案相关目标任务尚未落实的原因及其制约因素。推进示范创建工作存在的主要问题，已采取的解决措施及其效果，</w:t>
      </w:r>
      <w:r>
        <w:rPr>
          <w:rFonts w:ascii="Times New Roman" w:eastAsia="仿宋" w:hAnsi="Times New Roman" w:cs="Times New Roman" w:hint="eastAsia"/>
          <w:sz w:val="32"/>
          <w:szCs w:val="32"/>
        </w:rPr>
        <w:lastRenderedPageBreak/>
        <w:t>还需要协调解决的问题。</w:t>
      </w:r>
    </w:p>
    <w:p w:rsidR="00091A84" w:rsidRDefault="00091A84" w:rsidP="00091A84">
      <w:pPr>
        <w:widowControl w:val="0"/>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、示范创建工作推进过程中取得的主要经验。</w:t>
      </w:r>
    </w:p>
    <w:p w:rsidR="00091A84" w:rsidRDefault="00091A84" w:rsidP="00091A84">
      <w:pPr>
        <w:widowControl w:val="0"/>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、进一步深入推进工业固废资源综合利用产业发展的政策建议。</w:t>
      </w:r>
    </w:p>
    <w:p w:rsidR="00091A84" w:rsidRDefault="00091A84" w:rsidP="00091A84">
      <w:pPr>
        <w:widowControl w:val="0"/>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（五）相关证明材料</w:t>
      </w:r>
    </w:p>
    <w:p w:rsidR="00091A84" w:rsidRDefault="00091A84" w:rsidP="00091A84">
      <w:pPr>
        <w:spacing w:after="0" w:line="560" w:lineRule="exact"/>
        <w:ind w:firstLineChars="200" w:firstLine="640"/>
        <w:jc w:val="both"/>
        <w:rPr>
          <w:rFonts w:ascii="Times New Roman" w:eastAsia="仿宋_GB2312" w:hAnsi="Times New Roman" w:cs="Times New Roman"/>
          <w:sz w:val="32"/>
          <w:szCs w:val="32"/>
        </w:rPr>
      </w:pPr>
    </w:p>
    <w:p w:rsidR="00091A84" w:rsidRDefault="00091A84" w:rsidP="00091A84">
      <w:pPr>
        <w:spacing w:after="0" w:line="560" w:lineRule="exact"/>
        <w:jc w:val="both"/>
        <w:rPr>
          <w:rFonts w:ascii="Times New Roman" w:eastAsia="仿宋_GB2312" w:hAnsi="Times New Roman" w:cs="Times New Roman"/>
          <w:sz w:val="32"/>
          <w:szCs w:val="32"/>
        </w:rPr>
      </w:pPr>
    </w:p>
    <w:p w:rsidR="00091A84" w:rsidRDefault="00091A84" w:rsidP="00091A84">
      <w:pPr>
        <w:spacing w:after="0" w:line="240" w:lineRule="auto"/>
        <w:rPr>
          <w:rFonts w:ascii="Times New Roman" w:eastAsia="仿宋_GB2312" w:hAnsi="Times New Roman" w:cs="Times New Roman"/>
          <w:sz w:val="32"/>
          <w:szCs w:val="32"/>
        </w:rPr>
        <w:sectPr w:rsidR="00091A84">
          <w:pgSz w:w="11906" w:h="16838"/>
          <w:pgMar w:top="2098" w:right="1247" w:bottom="1418" w:left="1588" w:header="964" w:footer="709" w:gutter="0"/>
          <w:pgNumType w:fmt="numberInDash"/>
          <w:cols w:space="720"/>
        </w:sectPr>
      </w:pPr>
    </w:p>
    <w:p w:rsidR="00091A84" w:rsidRDefault="00091A84" w:rsidP="00091A84">
      <w:pPr>
        <w:spacing w:after="0" w:line="560" w:lineRule="exact"/>
        <w:jc w:val="both"/>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附表</w:t>
      </w:r>
    </w:p>
    <w:p w:rsidR="00091A84" w:rsidRDefault="00091A84" w:rsidP="00091A84">
      <w:pPr>
        <w:spacing w:after="0" w:line="560" w:lineRule="exact"/>
        <w:ind w:left="284" w:hanging="284"/>
        <w:contextualSpacing/>
        <w:jc w:val="both"/>
        <w:rPr>
          <w:rFonts w:ascii="Times New Roman" w:eastAsia="方正小标宋简体" w:hAnsi="Times New Roman" w:cs="Times New Roman"/>
          <w:sz w:val="32"/>
          <w:szCs w:val="32"/>
        </w:rPr>
      </w:pPr>
    </w:p>
    <w:p w:rsidR="00091A84" w:rsidRDefault="00091A84" w:rsidP="00091A84">
      <w:pPr>
        <w:spacing w:after="0"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工业固体废物资源综合利用示范企业自评价指标表</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8392"/>
        <w:gridCol w:w="2381"/>
        <w:gridCol w:w="2381"/>
      </w:tblGrid>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序号</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指标名称</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创建预期</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完成情况</w:t>
            </w: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企业年销售收入</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资源综合利用产品或技术成果年销售收入</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利润</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税金</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废弃物年综合利用量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废弃物综合利用率</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废弃物综合利用产品年产值</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建立质量、环境管理体系</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资源综合利用领域相关技术专利数量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制定（或参与制定）资源综合利用国家、地方、行业、团体、企业标准数量</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83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企业近三年（含成立不足三年）未发生较大及以上安全、环保、质量事故，未列入失信企业、法人代表黑名单</w:t>
            </w: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91A84" w:rsidRDefault="00091A84">
            <w:pPr>
              <w:spacing w:after="0" w:line="500" w:lineRule="exact"/>
              <w:jc w:val="both"/>
              <w:rPr>
                <w:rFonts w:ascii="Times New Roman" w:eastAsia="宋体" w:hAnsi="Times New Roman" w:cs="Times New Roman"/>
                <w:sz w:val="24"/>
                <w:szCs w:val="24"/>
              </w:rPr>
            </w:pPr>
          </w:p>
        </w:tc>
      </w:tr>
    </w:tbl>
    <w:p w:rsidR="00091A84" w:rsidRDefault="00091A84" w:rsidP="00091A84">
      <w:pPr>
        <w:spacing w:after="0" w:line="560" w:lineRule="exact"/>
        <w:jc w:val="both"/>
        <w:rPr>
          <w:rFonts w:ascii="Times New Roman" w:eastAsia="仿宋_GB2312" w:hAnsi="Times New Roman" w:cs="Times New Roman"/>
          <w:sz w:val="32"/>
          <w:szCs w:val="32"/>
        </w:rPr>
      </w:pPr>
    </w:p>
    <w:p w:rsidR="00091A84" w:rsidRDefault="00091A84" w:rsidP="00091A84">
      <w:pPr>
        <w:spacing w:after="0" w:line="240" w:lineRule="auto"/>
        <w:rPr>
          <w:rFonts w:ascii="Times New Roman" w:eastAsia="仿宋_GB2312" w:hAnsi="Times New Roman" w:cs="Times New Roman"/>
          <w:sz w:val="32"/>
          <w:szCs w:val="32"/>
        </w:rPr>
        <w:sectPr w:rsidR="00091A84">
          <w:pgSz w:w="16838" w:h="11906" w:orient="landscape"/>
          <w:pgMar w:top="1440" w:right="1440" w:bottom="1440" w:left="1440" w:header="708" w:footer="708" w:gutter="0"/>
          <w:pgNumType w:fmt="numberInDash"/>
          <w:cols w:space="720"/>
        </w:sectPr>
      </w:pPr>
    </w:p>
    <w:p w:rsidR="00091A84" w:rsidRDefault="00091A84" w:rsidP="00091A84">
      <w:pPr>
        <w:spacing w:after="0" w:line="560" w:lineRule="exact"/>
        <w:ind w:firstLineChars="200" w:firstLine="640"/>
        <w:jc w:val="both"/>
        <w:rPr>
          <w:rFonts w:ascii="黑体" w:eastAsia="黑体" w:cs="Times New Roman"/>
          <w:sz w:val="32"/>
          <w:szCs w:val="32"/>
        </w:rPr>
      </w:pPr>
      <w:r>
        <w:rPr>
          <w:rFonts w:ascii="黑体" w:eastAsia="黑体" w:cs="Times New Roman" w:hint="eastAsia"/>
          <w:sz w:val="32"/>
          <w:szCs w:val="32"/>
        </w:rPr>
        <w:lastRenderedPageBreak/>
        <w:t>三、工业固体废物资源综合利用示范项目自评价报告书编制提纲</w:t>
      </w:r>
    </w:p>
    <w:p w:rsidR="00091A84" w:rsidRDefault="00091A84" w:rsidP="00091A84">
      <w:pPr>
        <w:spacing w:after="0" w:line="560" w:lineRule="exact"/>
        <w:ind w:firstLineChars="200" w:firstLine="640"/>
        <w:jc w:val="both"/>
        <w:rPr>
          <w:rFonts w:ascii="Times New Roman" w:eastAsia="楷体" w:hAnsi="Times New Roman" w:cs="Times New Roman" w:hint="eastAsia"/>
          <w:sz w:val="32"/>
          <w:szCs w:val="32"/>
        </w:rPr>
      </w:pPr>
      <w:r>
        <w:rPr>
          <w:rFonts w:ascii="Times New Roman" w:eastAsia="楷体" w:hAnsi="Times New Roman" w:cs="Times New Roman" w:hint="eastAsia"/>
          <w:sz w:val="32"/>
          <w:szCs w:val="32"/>
        </w:rPr>
        <w:t>（一）目标实现情况</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截至验收前，与创建工作方案中提出的各项目标相比，综合利用示范项目各项指标实现情况，包括项目投资完成率，设备投资占固定资产投资百分比，项目单位管理体系建设，工业固废综合利用量、产值，研发、应用和推广的重大工艺技术装备，开发的综合利用新产品，形成的综合利用相关标准规范，对区域工业固废综合利用产业发展起到的带动作用和示范效益等（并填写附表）。对尚未实现的目标，说明原因及拟采取的对策措施。</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（二）任务完成情况</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项目示范创建过程中，包括项目建设、技术创新、标准制定和建设进度等方面的重点任务完成情况。</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（三）保障措施落实情况</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开展工业固废资源综合利用示范创建采取的组织、资金、技术、人才等方面的具体措施及相关配套政策的落实情况等。</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（四）存在问题、主要经验和政策建议</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、创建工作方案相关目标任务尚未落实的原因及其制约因素。推进示范创建工作存在的主要问题，已采取的解决措施及其效果，还需要协调解决的问题。</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、示范创建工作推进过程中取得的主要经验。</w:t>
      </w:r>
    </w:p>
    <w:p w:rsidR="00091A84" w:rsidRDefault="00091A84" w:rsidP="00091A84">
      <w:pPr>
        <w:spacing w:after="0" w:line="56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、进一步深入推进工业固废资源综合利用产业发展的政策建议。</w:t>
      </w:r>
    </w:p>
    <w:p w:rsidR="00091A84" w:rsidRDefault="00091A84" w:rsidP="00091A84">
      <w:pPr>
        <w:spacing w:after="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hint="eastAsia"/>
          <w:sz w:val="32"/>
          <w:szCs w:val="32"/>
        </w:rPr>
        <w:t>（五）相关证明材料</w:t>
      </w:r>
    </w:p>
    <w:p w:rsidR="00091A84" w:rsidRDefault="00091A84" w:rsidP="00091A84">
      <w:pPr>
        <w:spacing w:after="0" w:line="240" w:lineRule="auto"/>
        <w:rPr>
          <w:rFonts w:ascii="Times New Roman" w:eastAsia="楷体" w:hAnsi="Times New Roman" w:cs="Times New Roman"/>
          <w:sz w:val="32"/>
          <w:szCs w:val="32"/>
        </w:rPr>
        <w:sectPr w:rsidR="00091A84">
          <w:pgSz w:w="11906" w:h="16838"/>
          <w:pgMar w:top="1440" w:right="1440" w:bottom="1440" w:left="1440" w:header="708" w:footer="708" w:gutter="0"/>
          <w:pgNumType w:fmt="numberInDash"/>
          <w:cols w:space="720"/>
        </w:sectPr>
      </w:pPr>
      <w:bookmarkStart w:id="1" w:name="_GoBack"/>
      <w:bookmarkEnd w:id="1"/>
    </w:p>
    <w:p w:rsidR="00091A84" w:rsidRDefault="00091A84" w:rsidP="00091A84">
      <w:pPr>
        <w:spacing w:after="0" w:line="560" w:lineRule="exact"/>
        <w:jc w:val="both"/>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附表</w:t>
      </w:r>
    </w:p>
    <w:p w:rsidR="00091A84" w:rsidRDefault="00091A84" w:rsidP="00091A84">
      <w:pPr>
        <w:spacing w:after="0" w:line="560" w:lineRule="exact"/>
        <w:ind w:left="284" w:hanging="284"/>
        <w:contextualSpacing/>
        <w:jc w:val="both"/>
        <w:rPr>
          <w:rFonts w:ascii="Times New Roman" w:eastAsia="方正小标宋简体" w:hAnsi="Times New Roman" w:cs="Times New Roman"/>
          <w:sz w:val="32"/>
          <w:szCs w:val="32"/>
        </w:rPr>
      </w:pPr>
    </w:p>
    <w:p w:rsidR="00091A84" w:rsidRDefault="00091A84" w:rsidP="00091A84">
      <w:pPr>
        <w:spacing w:after="0"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工业固体废物资源综合利用示范项目自评价指标表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8392"/>
        <w:gridCol w:w="2381"/>
        <w:gridCol w:w="2381"/>
      </w:tblGrid>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序号</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指标名称</w:t>
            </w:r>
          </w:p>
        </w:tc>
        <w:tc>
          <w:tcPr>
            <w:tcW w:w="2381" w:type="dxa"/>
            <w:tcBorders>
              <w:top w:val="single" w:sz="4" w:space="0" w:color="auto"/>
              <w:left w:val="single" w:sz="4" w:space="0" w:color="auto"/>
              <w:bottom w:val="single" w:sz="4" w:space="0" w:color="auto"/>
              <w:right w:val="single" w:sz="4" w:space="0" w:color="auto"/>
            </w:tcBorders>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创建预期</w:t>
            </w:r>
          </w:p>
        </w:tc>
        <w:tc>
          <w:tcPr>
            <w:tcW w:w="2381"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完成情况</w:t>
            </w: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项目投资完成率</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设备投资占固定资产投资百分比</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达产后工业固废资源年综合利用量</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达产后工业固废资源年综合利用产值</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通过项目实施，提出、起草、出台工业固废综合利用领域相关国家、地方、行业、团体、企业标准数量</w:t>
            </w: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通过项目实施，研发、应用和推广重大工艺技术装备数量</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通过项目实施，开发综合利用新产品数量</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jc w:val="both"/>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项目单位建立质量管理体系、环境管理体系</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r w:rsidR="00091A84" w:rsidTr="00091A84">
        <w:trPr>
          <w:trHeight w:val="340"/>
        </w:trPr>
        <w:tc>
          <w:tcPr>
            <w:tcW w:w="794"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8392" w:type="dxa"/>
            <w:tcBorders>
              <w:top w:val="single" w:sz="4" w:space="0" w:color="auto"/>
              <w:left w:val="single" w:sz="4" w:space="0" w:color="auto"/>
              <w:bottom w:val="single" w:sz="4" w:space="0" w:color="auto"/>
              <w:right w:val="single" w:sz="4" w:space="0" w:color="auto"/>
            </w:tcBorders>
            <w:vAlign w:val="center"/>
            <w:hideMark/>
          </w:tcPr>
          <w:p w:rsidR="00091A84" w:rsidRDefault="00091A84">
            <w:pPr>
              <w:spacing w:after="0" w:line="50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项目单位近三年无重大环保、安全事故</w:t>
            </w:r>
          </w:p>
        </w:tc>
        <w:tc>
          <w:tcPr>
            <w:tcW w:w="2381" w:type="dxa"/>
            <w:tcBorders>
              <w:top w:val="single" w:sz="4" w:space="0" w:color="auto"/>
              <w:left w:val="single" w:sz="4" w:space="0" w:color="auto"/>
              <w:bottom w:val="single" w:sz="4" w:space="0" w:color="auto"/>
              <w:right w:val="single" w:sz="4" w:space="0" w:color="auto"/>
            </w:tcBorders>
          </w:tcPr>
          <w:p w:rsidR="00091A84" w:rsidRDefault="00091A84">
            <w:pPr>
              <w:spacing w:after="0" w:line="500" w:lineRule="exact"/>
              <w:rPr>
                <w:rFonts w:ascii="Times New Roman" w:eastAsia="宋体"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vAlign w:val="center"/>
          </w:tcPr>
          <w:p w:rsidR="00091A84" w:rsidRDefault="00091A84">
            <w:pPr>
              <w:spacing w:after="0" w:line="500" w:lineRule="exact"/>
              <w:jc w:val="both"/>
              <w:rPr>
                <w:rFonts w:ascii="Times New Roman" w:eastAsia="宋体" w:hAnsi="Times New Roman" w:cs="Times New Roman"/>
                <w:sz w:val="24"/>
                <w:szCs w:val="24"/>
              </w:rPr>
            </w:pPr>
          </w:p>
        </w:tc>
      </w:tr>
    </w:tbl>
    <w:p w:rsidR="00123EB4" w:rsidRPr="00091A84" w:rsidRDefault="00123EB4">
      <w:pPr>
        <w:rPr>
          <w:lang w:val="en-US"/>
        </w:rPr>
      </w:pPr>
    </w:p>
    <w:sectPr w:rsidR="00123EB4" w:rsidRPr="00091A84" w:rsidSect="00091A8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E9" w:rsidRDefault="00151BE9" w:rsidP="00091A84">
      <w:pPr>
        <w:spacing w:after="0" w:line="240" w:lineRule="auto"/>
      </w:pPr>
      <w:r>
        <w:separator/>
      </w:r>
    </w:p>
  </w:endnote>
  <w:endnote w:type="continuationSeparator" w:id="0">
    <w:p w:rsidR="00151BE9" w:rsidRDefault="00151BE9" w:rsidP="000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永中宋体">
    <w:altName w:val="微软雅黑"/>
    <w:charset w:val="86"/>
    <w:family w:val="auto"/>
    <w:pitch w:val="variable"/>
    <w:sig w:usb0="00000000" w:usb1="080E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E9" w:rsidRDefault="00151BE9" w:rsidP="00091A84">
      <w:pPr>
        <w:spacing w:after="0" w:line="240" w:lineRule="auto"/>
      </w:pPr>
      <w:r>
        <w:separator/>
      </w:r>
    </w:p>
  </w:footnote>
  <w:footnote w:type="continuationSeparator" w:id="0">
    <w:p w:rsidR="00151BE9" w:rsidRDefault="00151BE9" w:rsidP="00091A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2C"/>
    <w:rsid w:val="00091A84"/>
    <w:rsid w:val="00123EB4"/>
    <w:rsid w:val="00151BE9"/>
    <w:rsid w:val="006E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1CEBE-ECC9-49BE-B527-EF3A4B0E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A84"/>
    <w:pPr>
      <w:spacing w:after="160" w:line="256" w:lineRule="auto"/>
    </w:pPr>
    <w:rPr>
      <w:rFonts w:ascii="永中宋体" w:eastAsia="等线" w:hAnsi="永中宋体" w:cs="Arial"/>
      <w:kern w:val="0"/>
      <w:sz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A84"/>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val="en-US"/>
    </w:rPr>
  </w:style>
  <w:style w:type="character" w:customStyle="1" w:styleId="a4">
    <w:name w:val="页眉 字符"/>
    <w:basedOn w:val="a0"/>
    <w:link w:val="a3"/>
    <w:uiPriority w:val="99"/>
    <w:rsid w:val="00091A84"/>
    <w:rPr>
      <w:sz w:val="18"/>
      <w:szCs w:val="18"/>
    </w:rPr>
  </w:style>
  <w:style w:type="paragraph" w:styleId="a5">
    <w:name w:val="footer"/>
    <w:basedOn w:val="a"/>
    <w:link w:val="a6"/>
    <w:uiPriority w:val="99"/>
    <w:unhideWhenUsed/>
    <w:rsid w:val="00091A84"/>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val="en-US"/>
    </w:rPr>
  </w:style>
  <w:style w:type="character" w:customStyle="1" w:styleId="a6">
    <w:name w:val="页脚 字符"/>
    <w:basedOn w:val="a0"/>
    <w:link w:val="a5"/>
    <w:uiPriority w:val="99"/>
    <w:rsid w:val="00091A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1074">
      <w:bodyDiv w:val="1"/>
      <w:marLeft w:val="0"/>
      <w:marRight w:val="0"/>
      <w:marTop w:val="0"/>
      <w:marBottom w:val="0"/>
      <w:divBdr>
        <w:top w:val="none" w:sz="0" w:space="0" w:color="auto"/>
        <w:left w:val="none" w:sz="0" w:space="0" w:color="auto"/>
        <w:bottom w:val="none" w:sz="0" w:space="0" w:color="auto"/>
        <w:right w:val="none" w:sz="0" w:space="0" w:color="auto"/>
      </w:divBdr>
    </w:div>
    <w:div w:id="420949396">
      <w:bodyDiv w:val="1"/>
      <w:marLeft w:val="0"/>
      <w:marRight w:val="0"/>
      <w:marTop w:val="0"/>
      <w:marBottom w:val="0"/>
      <w:divBdr>
        <w:top w:val="none" w:sz="0" w:space="0" w:color="auto"/>
        <w:left w:val="none" w:sz="0" w:space="0" w:color="auto"/>
        <w:bottom w:val="none" w:sz="0" w:space="0" w:color="auto"/>
        <w:right w:val="none" w:sz="0" w:space="0" w:color="auto"/>
      </w:divBdr>
    </w:div>
    <w:div w:id="751974657">
      <w:bodyDiv w:val="1"/>
      <w:marLeft w:val="0"/>
      <w:marRight w:val="0"/>
      <w:marTop w:val="0"/>
      <w:marBottom w:val="0"/>
      <w:divBdr>
        <w:top w:val="none" w:sz="0" w:space="0" w:color="auto"/>
        <w:left w:val="none" w:sz="0" w:space="0" w:color="auto"/>
        <w:bottom w:val="none" w:sz="0" w:space="0" w:color="auto"/>
        <w:right w:val="none" w:sz="0" w:space="0" w:color="auto"/>
      </w:divBdr>
    </w:div>
    <w:div w:id="1443841212">
      <w:bodyDiv w:val="1"/>
      <w:marLeft w:val="0"/>
      <w:marRight w:val="0"/>
      <w:marTop w:val="0"/>
      <w:marBottom w:val="0"/>
      <w:divBdr>
        <w:top w:val="none" w:sz="0" w:space="0" w:color="auto"/>
        <w:left w:val="none" w:sz="0" w:space="0" w:color="auto"/>
        <w:bottom w:val="none" w:sz="0" w:space="0" w:color="auto"/>
        <w:right w:val="none" w:sz="0" w:space="0" w:color="auto"/>
      </w:divBdr>
    </w:div>
    <w:div w:id="20559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2020-03-03T08:42:00Z</dcterms:created>
  <dcterms:modified xsi:type="dcterms:W3CDTF">2020-03-03T08:43:00Z</dcterms:modified>
</cp:coreProperties>
</file>